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FFC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44"/>
          <w:szCs w:val="44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-901700</wp:posOffset>
            </wp:positionV>
            <wp:extent cx="7557135" cy="10717530"/>
            <wp:effectExtent l="0" t="0" r="1905" b="11430"/>
            <wp:wrapNone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C000"/>
          <w:sz w:val="44"/>
          <w:szCs w:val="44"/>
          <w:lang w:val="en-US" w:eastAsia="zh-CN"/>
        </w:rPr>
        <w:t>陕西省康复医学会2022年新年贺词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岁序更替，华章日新。在这新元肇始、万象更新的美好时刻，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陕西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省康复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医学会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向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广大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康复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同仁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致以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最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崇高敬意，向长期以来关心和支持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学会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发展的社会各界人士致以新年的祝福和诚挚的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谢意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2021年，在习近平新时代中国特色社会主义思想指引下，站在建党百年与十四五开局的交汇点上，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陕西省康复医学会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带领全体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会员与时俱进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在疫情防控常态化条件下，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充分发挥学会医疗、科普实力，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采用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线上、线下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模式，通过大力举办分会学术年会、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科普活动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继续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教育培训班，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全面普及康复医学知识，传播科学思想和科学方法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积极围绕全民健康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需求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做了卓有成效的工作。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2021年，学会完成了理事会换届，通过了新的《陕西省康复医学会章程》；张巧俊当选为第七届理事会理事长；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张洁、田晔、朱一平、闫自强、乔晋、杨俊生、石秀娥、陆健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副理事长；秘书长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袁海峰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eastAsia="zh-CN"/>
        </w:rPr>
        <w:t>；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支部书记张洁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eastAsia="zh-CN"/>
        </w:rPr>
        <w:t>；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西安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交通大学第二附属医院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继续作为陕西省康复医学会的依托单位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eastAsia="zh-CN"/>
        </w:rPr>
        <w:t>；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学会党支部挂靠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医院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党委。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新一届理事会必将为陕西康复事业做出更大的贡献。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底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，西安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新冠肺炎疫情防控形势严峻，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学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会全体会员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FFC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自觉深入学习贯彻习近平总书记关于疫情防控工作的重要指示精神，坚决落实党中央、国务院、陕西省委决策部署，把疫情防控作为当前一项重要的政治任务，坚定必胜信心，发扬连续奋战精神，与时间赛跑，刻不容缓做好各项防控工作，确保各项防疫措施落到实处，全力以赴遏制疫情传播蔓延态势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构筑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起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了疫情防控的坚强防线，守护着古城一方净土。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2022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年即将开始，新起点、新征程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陕西省康复医学会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将继续坚持党建引领，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继续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加强组织建设、繁荣学术活动、深入基层帮扶、开展科普活动，用汗水浇灌收获，以实干笃定前行，以勇立潮头的雄风傲骨，以攻坚克难的使命担当，不断开创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康复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工作的新局面！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2022年即将开始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，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陕西省康复医学会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祝愿大家在新的一年里身体健康、万事如意、阖家幸福，祝愿全省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康复</w:t>
      </w: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  <w:t>事业继往开来、蓬勃发展、再谱华章！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jc w:val="right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 xml:space="preserve">理事长： 张巧俊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jc w:val="right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 xml:space="preserve">秘书长： 袁海峰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2" w:firstLineChars="200"/>
        <w:jc w:val="right"/>
        <w:textAlignment w:val="auto"/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C000"/>
          <w:sz w:val="24"/>
          <w:szCs w:val="24"/>
          <w:highlight w:val="none"/>
          <w:lang w:val="en-US" w:eastAsia="zh-CN"/>
        </w:rPr>
        <w:t>2021年12月31日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7C8D"/>
    <w:rsid w:val="08D45146"/>
    <w:rsid w:val="12447C8D"/>
    <w:rsid w:val="24471B16"/>
    <w:rsid w:val="29FD147F"/>
    <w:rsid w:val="4E6B3DC8"/>
    <w:rsid w:val="5711720A"/>
    <w:rsid w:val="6315416A"/>
    <w:rsid w:val="65A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2021-12-31T06:23:00Z</dcterms:created>
  <dc:creator>袁海峰  西安交大二院</dc:creator>
  <cp:lastModifiedBy>袁海峰  西安交大二院</cp:lastModifiedBy>
  <dcterms:modified xsi:type="dcterms:W3CDTF">2021-12-31T10:12:53Z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94C2EDFB9DC14DB9872E36886ECDCD85</vt:lpwstr>
  </property>
</Properties>
</file>